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5.1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－5.1</w:t>
            </w:r>
            <w:r>
              <w:rPr>
                <w:szCs w:val="21"/>
              </w:rPr>
              <w:t>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必做：服务业区位因素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服务业区位因素的变化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交通运输方式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区域发展对交通运输布局的影响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EC57A6"/>
    <w:rsid w:val="20E5276B"/>
    <w:rsid w:val="24041D36"/>
    <w:rsid w:val="24461F6F"/>
    <w:rsid w:val="24D50E01"/>
    <w:rsid w:val="26141908"/>
    <w:rsid w:val="273A78F2"/>
    <w:rsid w:val="2A872513"/>
    <w:rsid w:val="2C0D2112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2024-05-06T01:53:31Z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30D62F278AB14052915D0EB6576DF43F_13</vt:lpwstr>
  </property>
</Properties>
</file>