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2023</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图书采购</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图书采购</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预算资金未下达，项目未完成。</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0</w:t>
      </w:r>
      <w:r>
        <w:rPr>
          <w:rFonts w:ascii="仿宋_GB2312" w:hAnsi="仿宋_GB2312" w:cs="仿宋_GB2312" w:eastAsia="仿宋_GB2312"/>
          <w:sz w:val="32"/>
        </w:rPr>
        <w:t>分，等级为</w:t>
      </w:r>
      <w:r>
        <w:rPr>
          <w:rFonts w:ascii="仿宋_GB2312" w:hAnsi="仿宋_GB2312" w:cs="仿宋_GB2312" w:eastAsia="仿宋_GB2312"/>
          <w:sz w:val="32"/>
        </w:rPr>
        <w:t>低</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0</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1)采购总成本控制率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1)购置数量</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1)商品或设备到位及时率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1)购置设备或商品利用率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1)人员满意度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图书采购项目年初预算金额安排为120万元，预算资金未下达，项目未完成。</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图书采购项目年初预算金额安排为120万元，预算资金未下达，项目未完成。</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