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2023</w:t>
      </w:r>
      <w:r>
        <w:rPr>
          <w:rFonts w:ascii="宋体" w:hAnsi="宋体" w:cs="仿宋" w:hint="eastAsia"/>
          <w:b/>
          <w:sz w:val="44"/>
          <w:szCs w:val="44"/>
        </w:rPr>
        <w:t>年度</w:t>
      </w:r>
      <w:r>
        <w:rPr>
          <w:rFonts w:ascii="宋体" w:hAnsi="宋体" w:cs="宋体" w:eastAsia="宋体"/>
          <w:b w:val="true"/>
          <w:sz w:val="44"/>
        </w:rPr>
        <w:t>市级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计算机、打印机、一体机等</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计算机、打印机、一体机等</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预算资金未下达，项目未完成。</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0</w:t>
      </w:r>
      <w:r>
        <w:rPr>
          <w:rFonts w:ascii="仿宋_GB2312" w:hAnsi="仿宋_GB2312" w:cs="仿宋_GB2312" w:eastAsia="仿宋_GB2312"/>
          <w:sz w:val="32"/>
        </w:rPr>
        <w:t>分，等级为</w:t>
      </w:r>
      <w:r>
        <w:rPr>
          <w:rFonts w:ascii="仿宋_GB2312" w:hAnsi="仿宋_GB2312" w:cs="仿宋_GB2312" w:eastAsia="仿宋_GB2312"/>
          <w:sz w:val="32"/>
        </w:rPr>
        <w:t>低</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0</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1)采购总成本控制率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60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1)购置数量</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1)验收合格率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1)商品或设备到位及时率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1)购置设备或商品利用率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1)人员满意度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计算机、打印机、一体机项目年初预算金额安排为30万元，预算资金未下达，项目未完成。</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计算机、打印机、一体机项目年初预算金额安排为30万元，预算资金未下达，项目未完成。</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